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i/>
          <w:iCs/>
          <w:sz w:val="20"/>
          <w:szCs w:val="20"/>
        </w:rPr>
        <w:t xml:space="preserve">	Конфиденциально</w:t>
      </w:r>
    </w:p>
    <w:p>
      <w:pPr>
        <w:spacing w:after="60"/>
      </w:pPr>
      <w:r>
        <w:rPr>
          <w:b/>
          <w:bCs/>
          <w:sz w:val="32"/>
          <w:szCs w:val="32"/>
        </w:rPr>
        <w:t xml:space="preserve">Условия проведения турнира</w:t>
      </w:r>
    </w:p>
    <w:p>
      <w:pPr>
        <w:spacing w:after="240"/>
      </w:pPr>
      <w:r>
        <w:rPr>
          <w:i/>
          <w:iCs/>
          <w:sz w:val="24"/>
          <w:szCs w:val="24"/>
        </w:rPr>
        <w:t xml:space="preserve">Poker Kralı — Турция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50"/>
      </w:tblGrid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Название турнира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Регион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Турция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Участвующая игра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Russian Poker (одна игра)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Продолжительность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6 июля – 4 августа 2026 (30 дней)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Призовой фонд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Денежный призовой фонд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Общее количество победителей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Минимальная квалификационная ставка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0.10 за раунд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Минимальный квалификационный коэффициент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Максимальный лимит раундов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Всего 5 400 раундов</w:t>
            </w:r>
          </w:p>
        </w:tc>
      </w:tr>
    </w:tbl>
    <w:p>
      <w:pPr>
        <w:spacing w:after="120" w:before="300"/>
      </w:pPr>
      <w:r>
        <w:rPr>
          <w:b/>
          <w:bCs/>
          <w:sz w:val="24"/>
          <w:szCs w:val="24"/>
        </w:rPr>
        <w:t xml:space="preserve">1. Обзор акции</w:t>
      </w:r>
    </w:p>
    <w:p>
      <w:pPr>
        <w:spacing w:after="120"/>
      </w:pPr>
      <w:r>
        <w:rPr>
          <w:sz w:val="21"/>
          <w:szCs w:val="21"/>
        </w:rPr>
        <w:t xml:space="preserve">«Poker Kralı» — это 30-дневный турнир по live-казино, организованный CreedRoomz и проходящий с 6 июля 2026 года по 4 августа 2026 года. Турнир открыт для всех соответствующих требованиям игроков партнёрских операторов, участвующих в регионе Турция.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2. Участие и требования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Все игроки соответствующих требованиям партнёрских операторов автоматически регистрируются для участия в турнире после совершения квалификационной ставки.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Участвующая игра: Russian Poker (одна игра)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Минимальная квалификационная ставка: 0.10 за раунд.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Минимальный квалификационный коэффициент: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Максимальный лимит раундов: всего 5 400 раундов на одного игрока за весь период турнира.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Для попадания в таблицу лидеров игроку необходимо одержать как минимум одну победу.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Участие возможно только при наличии действующего соглашения между оператором игрока и CreedRoomz на соответствующий период турнира.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3. Призовой фонд и распределение</w:t>
      </w:r>
    </w:p>
    <w:p>
      <w:pPr>
        <w:spacing w:after="120"/>
      </w:pPr>
      <w:r>
        <w:rPr>
          <w:sz w:val="21"/>
          <w:szCs w:val="21"/>
        </w:rPr>
        <w:t xml:space="preserve">По завершении турнира 4 августа 2026 года денежный призовой фонд будет распределён между 200 лучшими игроками. Призы присуждаются на основании итогового места в таблице лидеров.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4. Общие условия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Данная акция зависит от наличия и может быть изменена или отменена по усмотрению CreedRoomz.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Призы не подлежат передаче и не могут быть обменены на другие вознаграждения или денежный эквивалент вне стандартного процесса выплат.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оставляет за собой право дисквалифицировать любого игрока или аннулировать его выигрыш в случае обнаружения мошеннической деятельности, сговора или нарушения настоящих условий.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Использование автоматизированного программного обеспечения, ботов или любой формы скриптованной игры строго запрещено и влечёт немедленную дисквалификацию.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В случае равенства результатов в таблице лидеров более высокое место занимает игрок, первым достигший данного результата (по времени квалификационного раунда).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Решения CreedRoomz относительно рейтинга турнира, права на приз и дисквалификации являются окончательными и обязательными.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Акция соответствует применимым регуляторным требованиям в соответствующей юрисдикции. Партнёрские операторы несут ответственность за соблюдение своими игроками местного законодательства.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полностью покрывает расходы на призовой фонд данной акции.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5. Принятие условий</w:t>
      </w:r>
    </w:p>
    <w:p>
      <w:pPr>
        <w:spacing w:after="120"/>
      </w:pPr>
      <w:r>
        <w:rPr>
          <w:sz w:val="21"/>
          <w:szCs w:val="21"/>
        </w:rPr>
        <w:t xml:space="preserve">Участвуя в данном турнире, игрок подтверждает, что полностью ознакомился, понял и принял настоящие условия. Продолжение участия означает полное согласие с условиями.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© CreedRoomz — Конфиденциально. Только для распространения среди партнёров.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2026-07-03T13:26:07.817Z</dcterms:created>
  <dcterms:modified xsi:type="dcterms:W3CDTF">2026-07-03T13:26:07.817Z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